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0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4.xml" ContentType="application/vnd.openxmlformats-officedocument.wordprocessingml.head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header7.xml" ContentType="application/vnd.openxmlformats-officedocument.wordprocessingml.header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tbl>
      <w:tblPr>
        <w:tblW w:w="5000" w:type="pct"/>
        <w:tblInd w:w="0" w:type="dxa"/>
        <w:tblBorders>
          <w:top w:val="none"/>
          <w:left w:val="none"/>
          <w:bottom w:val="none"/>
          <w:right w:val="none"/>
          <w:insideH w:val="none"/>
          <w:insideV w:val="none"/>
        </w:tblBorders>
      </w:tblPr>
      <w:tblGrid>
        <w:gridCol w:w="10716"/>
      </w:tblGrid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</w:tcPr>
          <w:p>
            <w:pPr>
              <w:pStyle w:val="5"/>
            </w:pPr>
            <w:r>
              <w:rPr>
                <w:position w:val="-61"/>
              </w:rPr>
              <mc:AlternateContent>
                <mc:Choice Requires="wpg">
                  <w:drawing>
                    <wp:inline xmlns:wp="http://schemas.openxmlformats.org/drawingml/2006/wordprocessingDrawing" distT="0" distB="0" distL="0" distR="0">
                      <wp:extent cx="3810000" cy="904875"/>
                      <wp:effectExtent l="0" t="0" r="0" b="0"/>
                      <wp:docPr id="1" name="Консультант Плюс"/>
                      <wp:cNvGraphicFramePr/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 preferRelativeResize="0"/>
                              <pic:nvPr/>
                            </pic:nvPicPr>
                            <pic:blipFill>
                              <a:blip r:embed="rId26"/>
                              <a:srcRect/>
                              <a:stretch/>
                            </pic:blipFill>
                            <pic:spPr bwMode="auto">
                              <a:xfrm>
                                <a:off x="0" y="0"/>
                                <a:ext cx="3810000" cy="90487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mc:Choice>
                <mc:Fallback>
                  <w:pict>
                    <v:shapetype type="#_x0000_t75" o:spt="75" coordsize="21600,21600" o:preferrelative="t" path="m@4@5l@4@11@9@11@9@5xe"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</v:shapetype>
                    <v:shape id="_x0000_i0" o:spid="_x0000_s0" type="#_x0000_t75" style="width:300.00pt;height:71.25pt;mso-wrap-distance-left:0.00pt;mso-wrap-distance-top:0.00pt;mso-wrap-distance-right:0.00pt;mso-wrap-distance-bottom:0.00pt;" stroked="f">
                      <v:path textboxrect="0,0,0,0"/>
                      <v:imagedata r:id="rId26" o:title=""/>
                    </v:shape>
                  </w:pict>
                </mc:Fallback>
              </mc:AlternateContent>
            </w:r>
          </w:p>
        </w:tc>
      </w:tr>
      <w:tr>
        <w:trPr>
          <w:trHeight w:val="8335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48"/>
              </w:rPr>
              <w:t xml:space="preserve">Постановление Администрации г. Перми от 18.03.2026 N 150</w:t>
              <w:br/>
              <w:t xml:space="preserve">"О внесении изменений в муниципальную программу "Общественное согласие", утвержденную постановлением администрации города Перми от 17.10.2024 N 956"</w:t>
            </w:r>
          </w:p>
        </w:tc>
      </w:tr>
      <w:tr>
        <w:trPr>
          <w:trHeight w:val="3031" w:hRule="exact"/>
        </w:trPr>
        <w:tblPrEx>
          <w:tblBorders>
            <w:top w:val="none"/>
            <w:left w:val="none"/>
            <w:bottom w:val="none"/>
            <w:right w:val="none"/>
            <w:insideH w:val="none"/>
            <w:insideV w:val="none"/>
          </w:tblBorders>
        </w:tblPrEx>
        <w:tc>
          <w:tcPr>
            <w:tcW w:w="10716" w:type="dxa"/>
            <w:tcBorders>
              <w:top w:val="none"/>
              <w:left w:val="none"/>
              <w:bottom w:val="none"/>
              <w:right w:val="none"/>
            </w:tcBorders>
            <w:tcMar>
              <w:left w:w="80" w:type="dxa"/>
              <w:top w:w="60" w:type="dxa"/>
              <w:right w:w="80" w:type="dxa"/>
              <w:bottom w:w="60" w:type="dxa"/>
            </w:tcMar>
            <w:vAlign w:val="center"/>
          </w:tcPr>
          <w:p>
            <w:pPr>
              <w:pStyle w:val="5"/>
              <w:jc w:val="center"/>
            </w:pPr>
            <w:r>
              <w:rPr>
                <w:sz w:val="28"/>
              </w:rPr>
              <w:t xml:space="preserve">Документ предоставлен </w:t>
            </w:r>
            <w:hyperlink r:id="rId27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КонсультантПлюс</w:t>
                <w:br/>
                <w:br/>
              </w:r>
            </w:hyperlink>
            <w:hyperlink r:id="rId28" w:tooltip="Ссылка на КонсультантПлюс" w:history="0">
              <w:r>
                <w:rPr>
                  <w:b/>
                  <w:color w:val="0000ff"/>
                  <w:sz w:val="28"/>
                </w:rPr>
                <w:t xml:space="preserve">www.consultant.ru</w:t>
              </w:r>
            </w:hyperlink>
            <w:r>
              <w:rPr>
                <w:sz w:val="28"/>
              </w:rPr>
              <w:br/>
              <w:br/>
              <w:t xml:space="preserve">Дата сохранения: 01.04.2026</w:t>
            </w:r>
            <w:r>
              <w:rPr>
                <w:sz w:val="28"/>
              </w:rPr>
              <w:br/>
              <w:t xml:space="preserve"> </w:t>
            </w:r>
          </w:p>
        </w:tc>
      </w:tr>
    </w:tbl>
    <w:p>
      <w:pPr>
        <w:sectPr>
          <w:pgSz w:w="11906" w:h="16838"/>
          <w:pgMar w:top="841" w:right="595" w:bottom="841" w:left="595" w:header="0" w:footer="0" w:gutter="0"/>
          <w:cols w:space="708"/>
          <w:docGrid w:linePitch="360"/>
          <w:titlePg/>
        </w:sectPr>
      </w:pPr>
    </w:p>
    <w:p>
      <w:pPr>
        <w:pStyle w:val="0"/>
        <w:jc w:val="both"/>
        <w:outlineLvl w:val="0"/>
      </w:pPr>
      <w:r>
        <w:rPr>
          <w:sz w:val="24"/>
        </w:rPr>
      </w:r>
    </w:p>
    <w:p>
      <w:pPr>
        <w:pStyle w:val="2"/>
        <w:jc w:val="center"/>
        <w:outlineLvl w:val="0"/>
      </w:pPr>
      <w:r>
        <w:rPr>
          <w:sz w:val="24"/>
        </w:rPr>
        <w:t xml:space="preserve">АДМИНИСТРАЦИЯ ГОРОДА ПЕРМИ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ПОСТАНОВЛЕНИЕ</w:t>
      </w:r>
    </w:p>
    <w:p>
      <w:pPr>
        <w:pStyle w:val="2"/>
        <w:jc w:val="center"/>
      </w:pPr>
      <w:r>
        <w:rPr>
          <w:sz w:val="24"/>
        </w:rPr>
        <w:t xml:space="preserve">от 18 марта 2026 г. N 150</w:t>
      </w:r>
    </w:p>
    <w:p>
      <w:pPr>
        <w:pStyle w:val="2"/>
        <w:jc w:val="both"/>
      </w:pPr>
      <w:r>
        <w:rPr>
          <w:sz w:val="24"/>
        </w:rPr>
      </w:r>
    </w:p>
    <w:p>
      <w:pPr>
        <w:pStyle w:val="2"/>
        <w:jc w:val="center"/>
      </w:pPr>
      <w:r>
        <w:rPr>
          <w:sz w:val="24"/>
        </w:rPr>
        <w:t xml:space="preserve">О ВНЕСЕНИИ ИЗМЕНЕНИЙ В МУНИЦИПАЛЬНУЮ ПРОГРАММУ "ОБЩЕСТВЕННОЕ</w:t>
      </w:r>
    </w:p>
    <w:p>
      <w:pPr>
        <w:pStyle w:val="2"/>
        <w:jc w:val="center"/>
      </w:pPr>
      <w:r>
        <w:rPr>
          <w:sz w:val="24"/>
        </w:rPr>
        <w:t xml:space="preserve">СОГЛАСИЕ", УТВЕРЖДЕННУЮ ПОСТАНОВЛЕНИЕМ АДМИНИСТРАЦИИ ГОРОДА</w:t>
      </w:r>
    </w:p>
    <w:p>
      <w:pPr>
        <w:pStyle w:val="2"/>
        <w:jc w:val="center"/>
      </w:pPr>
      <w:r>
        <w:rPr>
          <w:sz w:val="24"/>
        </w:rPr>
        <w:t xml:space="preserve">ПЕРМИ ОТ 17.10.2024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В соответствии с федеральными законами от 06 октября 2003 г. </w:t>
      </w:r>
      <w:hyperlink r:id="rId29" w:tooltip="Федеральный закон от 06.10.2003 N 131-ФЗ (ред. от 20.03.2025) &quot;Об общих принципах организации местного самоуправления в Российской Федерации&quot; {КонсультантПлюс}" w:history="0">
        <w:r>
          <w:rPr>
            <w:color w:val="0000ff"/>
            <w:sz w:val="24"/>
          </w:rPr>
          <w:t xml:space="preserve">N 131-ФЗ</w:t>
        </w:r>
      </w:hyperlink>
      <w:r>
        <w:rPr>
          <w:sz w:val="24"/>
        </w:rPr>
        <w:t xml:space="preserve"> "Об общих принципах организации местного самоуправления в Российской Федерации", от 20 марта 2025 г. </w:t>
      </w:r>
      <w:hyperlink r:id="rId30" w:tooltip="Федеральный закон от 20.03.2025 N 33-ФЗ &quot;Об общих принципах организации местного самоуправления в единой системе публичной власти&quot; {КонсультантПлюс}" w:history="0">
        <w:r>
          <w:rPr>
            <w:color w:val="0000ff"/>
            <w:sz w:val="24"/>
          </w:rPr>
          <w:t xml:space="preserve">N 33-ФЗ</w:t>
        </w:r>
      </w:hyperlink>
      <w:r>
        <w:rPr>
          <w:sz w:val="24"/>
        </w:rPr>
        <w:t xml:space="preserve"> "Об общих принципах организации местного самоуправления в единой системе публичной власти", </w:t>
      </w:r>
      <w:hyperlink r:id="rId31" w:tooltip="Постановление Администрации г. Перми от 02.09.2024 N 715 (ред. от 30.01.2026) &quot;Об утверждении Порядка разработки, реализации и оценки эффективности муниципальных программ города Перми&quot; {КонсультантПлюс}" w:history="0">
        <w:r>
          <w:rPr>
            <w:color w:val="0000ff"/>
            <w:sz w:val="24"/>
          </w:rPr>
          <w:t xml:space="preserve">постановлением</w:t>
        </w:r>
      </w:hyperlink>
      <w:r>
        <w:rPr>
          <w:sz w:val="24"/>
        </w:rPr>
        <w:t xml:space="preserve"> администрации города Перми от 02 сентября 2024 г. N 715 "Об утверждении Порядка разработки, реализации и оценки эффективности муниципальных программ города Перми" администрация города Перми постановляет: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Утвердить прилагаемые </w:t>
      </w:r>
      <w:hyperlink w:tooltip="ИЗМЕНЕНИЯ" w:anchor="P30" w:history="0">
        <w:r>
          <w:rPr>
            <w:color w:val="0000ff"/>
            <w:sz w:val="24"/>
          </w:rPr>
          <w:t xml:space="preserve">изменения</w:t>
        </w:r>
      </w:hyperlink>
      <w:r>
        <w:rPr>
          <w:sz w:val="24"/>
        </w:rPr>
        <w:t xml:space="preserve"> в муниципальную </w:t>
      </w:r>
      <w:hyperlink r:id="rId32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программу</w:t>
        </w:r>
      </w:hyperlink>
      <w:r>
        <w:rPr>
          <w:sz w:val="24"/>
        </w:rPr>
        <w:t xml:space="preserve"> "Общественное согласие", утвержденную постановлением администрации города Перми от 17 октября 2024 г. N 956 (в ред. от 02.12.2024 N 1159, от 29.01.2025 N 30, от 04.03.2025 N 130, от 28.03.2025 N 206, от 21.04.2025 N 271, от 20.05.2025 N 330, от 21.07.2025 N 474, от 18.09.2025 N 646, от 03.10.2025 N 703, от 20.10.2025 N 832, от 24.11.2025 N 966, от 30.12.2025 N 1070, от 30.01.2026 N 32, от 19.02.2026 N 90).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2. Настоящее постановление вступает в силу со дня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3. Управлению по общим вопросам администрации города Перми обеспечить обнародование настоящего постановления посредством официального опубликования в печатном средстве массовой информации "Официальный бюллетень органов местного самоуправления муниципального образования город Пермь".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4. Информационно-аналитическому управлению администрации города Перми обеспечить обнародование настоящего постановления посредством официального опубликования в сетевом издании "Официальный сайт муниципального образования город Пермь </w:t>
      </w:r>
      <w:hyperlink r:id="rId33" w:history="0">
        <w:r>
          <w:rPr>
            <w:color w:val="0000ff"/>
            <w:sz w:val="24"/>
          </w:rPr>
          <w:t xml:space="preserve">www.gorodperm.ru</w:t>
        </w:r>
      </w:hyperlink>
      <w:r>
        <w:rPr>
          <w:sz w:val="24"/>
        </w:rPr>
        <w:t xml:space="preserve">".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 Контроль за исполнением настоящего постановления возложить на заместителя главы администрации города Перми Трошкова С.В.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</w:pPr>
      <w:r>
        <w:rPr>
          <w:sz w:val="24"/>
        </w:rPr>
        <w:t xml:space="preserve">И.о. Главы города Перми</w:t>
      </w:r>
    </w:p>
    <w:p>
      <w:pPr>
        <w:pStyle w:val="0"/>
        <w:jc w:val="right"/>
      </w:pPr>
      <w:r>
        <w:rPr>
          <w:sz w:val="24"/>
        </w:rPr>
        <w:t xml:space="preserve">Д.К.ГАЛИХАНОВ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jc w:val="right"/>
        <w:outlineLvl w:val="0"/>
      </w:pPr>
      <w:r>
        <w:rPr>
          <w:sz w:val="24"/>
        </w:rPr>
        <w:t xml:space="preserve">УТВЕРЖДЕНЫ</w:t>
      </w:r>
    </w:p>
    <w:p>
      <w:pPr>
        <w:pStyle w:val="0"/>
        <w:jc w:val="right"/>
      </w:pPr>
      <w:r>
        <w:rPr>
          <w:sz w:val="24"/>
        </w:rPr>
        <w:t xml:space="preserve">постановлением</w:t>
      </w:r>
    </w:p>
    <w:p>
      <w:pPr>
        <w:pStyle w:val="0"/>
        <w:jc w:val="right"/>
      </w:pPr>
      <w:r>
        <w:rPr>
          <w:sz w:val="24"/>
        </w:rPr>
        <w:t xml:space="preserve">администрации города Перми</w:t>
      </w:r>
    </w:p>
    <w:p>
      <w:pPr>
        <w:pStyle w:val="0"/>
        <w:jc w:val="right"/>
      </w:pPr>
      <w:r>
        <w:rPr>
          <w:sz w:val="24"/>
        </w:rPr>
        <w:t xml:space="preserve">от 18.03.2026 N 150</w:t>
      </w:r>
    </w:p>
    <w:p>
      <w:pPr>
        <w:pStyle w:val="0"/>
        <w:jc w:val="both"/>
      </w:pPr>
      <w:r>
        <w:rPr>
          <w:sz w:val="24"/>
        </w:rPr>
      </w:r>
    </w:p>
    <w:bookmarkStart w:id="30" w:name="P30"/>
    <w:bookmarkEnd w:id="30"/>
    <w:p>
      <w:pPr>
        <w:pStyle w:val="2"/>
        <w:jc w:val="center"/>
      </w:pPr>
      <w:r>
        <w:rPr>
          <w:sz w:val="24"/>
        </w:rPr>
        <w:t xml:space="preserve">ИЗМЕНЕНИЯ</w:t>
      </w:r>
    </w:p>
    <w:p>
      <w:pPr>
        <w:pStyle w:val="2"/>
        <w:jc w:val="center"/>
      </w:pPr>
      <w:r>
        <w:rPr>
          <w:sz w:val="24"/>
        </w:rPr>
        <w:t xml:space="preserve">В МУНИЦИПАЛЬНУЮ ПРОГРАММУ "ОБЩЕСТВЕННОЕ СОГЛАСИЕ",</w:t>
      </w:r>
    </w:p>
    <w:p>
      <w:pPr>
        <w:pStyle w:val="2"/>
        <w:jc w:val="center"/>
      </w:pPr>
      <w:r>
        <w:rPr>
          <w:sz w:val="24"/>
        </w:rPr>
        <w:t xml:space="preserve">УТВЕРЖДЕННУЮ ПОСТАНОВЛЕНИЕМ АДМИНИСТРАЦИИ ГОРОДА ПЕРМИ</w:t>
      </w:r>
    </w:p>
    <w:p>
      <w:pPr>
        <w:pStyle w:val="2"/>
        <w:jc w:val="center"/>
      </w:pPr>
      <w:r>
        <w:rPr>
          <w:sz w:val="24"/>
        </w:rPr>
        <w:t xml:space="preserve">ОТ 17 ОКТЯБРЯ 2024 Г. N 956</w:t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1. В разделе "Паспорт муниципальной программы "Общественное согласие" </w:t>
      </w:r>
      <w:hyperlink r:id="rId34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"Объемы и источники финансового обеспечения программы"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44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1444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программы</w:t>
            </w:r>
          </w:p>
        </w:tc>
        <w:tc>
          <w:tcPr>
            <w:tcW w:w="16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264" w:type="dxa"/>
            <w:gridSpan w:val="6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354639,8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261531,0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295999,7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1518636,3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335031,2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1448748,4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 (неналоговые меры поддержки)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2198,9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2154,0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2334,4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2427,7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11357,4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61188,4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2. В приложении 1 строки "</w:t>
      </w:r>
      <w:hyperlink r:id="rId35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r:id="rId36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39"/>
        <w:gridCol w:w="559"/>
        <w:gridCol w:w="904"/>
        <w:gridCol w:w="452"/>
        <w:gridCol w:w="598"/>
        <w:gridCol w:w="486"/>
        <w:gridCol w:w="542"/>
        <w:gridCol w:w="553"/>
        <w:gridCol w:w="351"/>
        <w:gridCol w:w="769"/>
        <w:gridCol w:w="108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5739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35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109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112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3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5739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38" w:type="dxa"/>
            <w:gridSpan w:val="3"/>
            <w:vAlign w:val="center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90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84754,6</w:t>
            </w:r>
          </w:p>
        </w:tc>
        <w:tc>
          <w:tcPr>
            <w:tcW w:w="105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75837,4</w:t>
            </w:r>
          </w:p>
        </w:tc>
        <w:tc>
          <w:tcPr>
            <w:tcW w:w="102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90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31475,9</w:t>
            </w:r>
          </w:p>
        </w:tc>
        <w:tc>
          <w:tcPr>
            <w:tcW w:w="76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192067,9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3. В приложении 2 строки "</w:t>
      </w:r>
      <w:hyperlink r:id="rId37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муниципального проекта", "</w:t>
      </w:r>
      <w:hyperlink r:id="rId38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муниципального проекта"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6"/>
          <w:headerReference w:type="first" r:id="rId7"/>
          <w:footerReference w:type="default" r:id="rId16"/>
          <w:footerReference w:type="first" r:id="rId17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849"/>
        <w:gridCol w:w="340"/>
        <w:gridCol w:w="1684"/>
        <w:gridCol w:w="559"/>
        <w:gridCol w:w="1084"/>
        <w:gridCol w:w="1024"/>
        <w:gridCol w:w="512"/>
        <w:gridCol w:w="628"/>
        <w:gridCol w:w="570"/>
        <w:gridCol w:w="599"/>
        <w:gridCol w:w="585"/>
        <w:gridCol w:w="440"/>
        <w:gridCol w:w="1024"/>
      </w:tblGrid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муниципального проекта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1684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4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118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146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</w:tr>
      <w:tr>
        <w:tc>
          <w:tcPr>
            <w:tcW w:w="184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муниципального проекта</w:t>
            </w:r>
          </w:p>
        </w:tc>
        <w:tc>
          <w:tcPr>
            <w:tcW w:w="2583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466" w:type="dxa"/>
            <w:gridSpan w:val="9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 (план)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109338,5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100833,4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512039,6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89729,9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90333,4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442151,7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tcW w:w="2583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13608,8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69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5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61188,4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4. В приложении 3 строки "</w:t>
      </w:r>
      <w:hyperlink r:id="rId39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Показатели</w:t>
        </w:r>
      </w:hyperlink>
      <w:r>
        <w:rPr>
          <w:sz w:val="24"/>
        </w:rPr>
        <w:t xml:space="preserve"> комплекса процессных мероприятий", "</w:t>
      </w:r>
      <w:hyperlink r:id="rId40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Объемы</w:t>
        </w:r>
      </w:hyperlink>
      <w:r>
        <w:rPr>
          <w:sz w:val="24"/>
        </w:rPr>
        <w:t xml:space="preserve"> и источники финансового обеспечения комплекса процессных мероприятий"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1489"/>
        <w:gridCol w:w="340"/>
        <w:gridCol w:w="2539"/>
        <w:gridCol w:w="559"/>
        <w:gridCol w:w="1084"/>
        <w:gridCol w:w="1024"/>
        <w:gridCol w:w="512"/>
        <w:gridCol w:w="628"/>
        <w:gridCol w:w="570"/>
        <w:gridCol w:w="454"/>
        <w:gridCol w:w="1024"/>
        <w:gridCol w:w="1084"/>
      </w:tblGrid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Показатели комплекса процессных мероприятий</w:t>
            </w:r>
          </w:p>
        </w:tc>
        <w:tc>
          <w:tcPr>
            <w:tcW w:w="340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N</w:t>
            </w:r>
          </w:p>
        </w:tc>
        <w:tc>
          <w:tcPr>
            <w:tcW w:w="253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Наименование показателя</w:t>
            </w:r>
          </w:p>
        </w:tc>
        <w:tc>
          <w:tcPr>
            <w:tcW w:w="5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 изм.</w:t>
            </w:r>
          </w:p>
        </w:tc>
        <w:tc>
          <w:tcPr>
            <w:tcW w:w="63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Значение показателей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(прогноз)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ТОС, получающих субсидии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112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мероприятий, направленных на достижение межэтнического и межконфессионального согласия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</w:t>
            </w:r>
          </w:p>
        </w:tc>
      </w:tr>
      <w:tr>
        <w:tc>
          <w:tcPr>
            <w:vMerge w:val="continue"/>
          </w:tcPr>
          <w:p/>
        </w:tc>
        <w:tc>
          <w:tcPr>
            <w:tcW w:w="340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Количество ТОС - получателей льготы в виде скидки по арендной плате</w:t>
            </w:r>
          </w:p>
        </w:tc>
        <w:tc>
          <w:tcPr>
            <w:tcW w:w="5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</w:t>
            </w:r>
          </w:p>
        </w:tc>
        <w:tc>
          <w:tcPr>
            <w:tcW w:w="1536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19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478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</w:t>
            </w:r>
          </w:p>
        </w:tc>
      </w:tr>
      <w:tr>
        <w:tc>
          <w:tcPr>
            <w:tcW w:w="148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Объемы и источники финансового обеспечения комплекса процессных мероприятий</w:t>
            </w:r>
          </w:p>
        </w:tc>
        <w:tc>
          <w:tcPr>
            <w:tcW w:w="3438" w:type="dxa"/>
            <w:gridSpan w:val="3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Источники финансового обеспечения</w:t>
            </w:r>
          </w:p>
        </w:tc>
        <w:tc>
          <w:tcPr>
            <w:tcW w:w="6380" w:type="dxa"/>
            <w:gridSpan w:val="8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Расходы (тыс. рублей)</w:t>
            </w:r>
          </w:p>
        </w:tc>
      </w:tr>
      <w:tr>
        <w:tc>
          <w:tcPr>
            <w:vMerge w:val="continue"/>
          </w:tcPr>
          <w:p/>
        </w:tc>
        <w:tc>
          <w:tcPr>
            <w:gridSpan w:val="3"/>
            <w:vMerge w:val="continue"/>
          </w:tcPr>
          <w:p/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2025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2026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2027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2028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2029 год</w:t>
            </w:r>
          </w:p>
          <w:p>
            <w:pPr>
              <w:pStyle w:val="0"/>
              <w:jc w:val="center"/>
            </w:pPr>
            <w:r>
              <w:rPr>
                <w:sz w:val="24"/>
              </w:rPr>
              <w:t xml:space="preserve">(план)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Итого</w:t>
            </w:r>
          </w:p>
        </w:tc>
      </w:tr>
      <w:tr>
        <w:tc>
          <w:tcPr>
            <w:vMerge w:val="continue"/>
          </w:tcPr>
          <w:p/>
        </w:tc>
        <w:tc>
          <w:tcPr>
            <w:tcW w:w="3438" w:type="dxa"/>
            <w:gridSpan w:val="3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169463,9</w:t>
            </w:r>
          </w:p>
        </w:tc>
        <w:tc>
          <w:tcPr>
            <w:tcW w:w="1140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160697,6</w:t>
            </w:r>
          </w:p>
        </w:tc>
        <w:tc>
          <w:tcPr>
            <w:tcW w:w="1024" w:type="dxa"/>
            <w:gridSpan w:val="2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158690,4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08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814528,8</w:t>
            </w:r>
          </w:p>
        </w:tc>
      </w:tr>
    </w:tbl>
    <w:p>
      <w:pPr>
        <w:sectPr>
          <w:headerReference w:type="default" r:id="rId8"/>
          <w:headerReference w:type="first" r:id="rId9"/>
          <w:footerReference w:type="default" r:id="rId18"/>
          <w:footerReference w:type="first" r:id="rId19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 В </w:t>
      </w:r>
      <w:hyperlink r:id="rId41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4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5.1. </w:t>
      </w:r>
      <w:hyperlink r:id="rId42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4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005"/>
        <w:gridCol w:w="510"/>
        <w:gridCol w:w="2778"/>
        <w:gridCol w:w="484"/>
        <w:gridCol w:w="484"/>
        <w:gridCol w:w="484"/>
        <w:gridCol w:w="484"/>
        <w:gridCol w:w="48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</w:t>
            </w:r>
          </w:p>
        </w:tc>
        <w:tc>
          <w:tcPr>
            <w:tcW w:w="300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построенных зданий под размещение общественных центров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77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капитального строительства администрации города Перми (далее - УКС)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-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5.2. </w:t>
      </w:r>
      <w:hyperlink r:id="rId43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5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005"/>
        <w:gridCol w:w="510"/>
        <w:gridCol w:w="2778"/>
        <w:gridCol w:w="484"/>
        <w:gridCol w:w="484"/>
        <w:gridCol w:w="484"/>
        <w:gridCol w:w="484"/>
        <w:gridCol w:w="48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</w:t>
            </w:r>
          </w:p>
        </w:tc>
        <w:tc>
          <w:tcPr>
            <w:tcW w:w="300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реализованных проектов СО НКО, получивших поддержку на конкурсной основе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77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124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131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5.3. </w:t>
      </w:r>
      <w:hyperlink r:id="rId44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 7</w:t>
        </w:r>
      </w:hyperlink>
      <w:r>
        <w:rPr>
          <w:sz w:val="24"/>
        </w:rPr>
        <w:t xml:space="preserve">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340"/>
        <w:gridCol w:w="3005"/>
        <w:gridCol w:w="510"/>
        <w:gridCol w:w="2778"/>
        <w:gridCol w:w="484"/>
        <w:gridCol w:w="484"/>
        <w:gridCol w:w="484"/>
        <w:gridCol w:w="484"/>
        <w:gridCol w:w="484"/>
      </w:tblGrid>
      <w:tr>
        <w:tc>
          <w:tcPr>
            <w:tcW w:w="34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</w:t>
            </w:r>
          </w:p>
        </w:tc>
        <w:tc>
          <w:tcPr>
            <w:tcW w:w="3005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Количество общественных центров, находящихся на содержании</w:t>
            </w:r>
          </w:p>
        </w:tc>
        <w:tc>
          <w:tcPr>
            <w:tcW w:w="510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ед.</w:t>
            </w:r>
          </w:p>
        </w:tc>
        <w:tc>
          <w:tcPr>
            <w:tcW w:w="2778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50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</w:t>
            </w:r>
          </w:p>
        </w:tc>
        <w:tc>
          <w:tcPr>
            <w:tcW w:w="48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 В </w:t>
      </w:r>
      <w:hyperlink r:id="rId45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приложении 5</w:t>
        </w:r>
      </w:hyperlink>
      <w:r>
        <w:rPr>
          <w:sz w:val="24"/>
        </w:rPr>
        <w:t xml:space="preserve">:</w:t>
      </w:r>
    </w:p>
    <w:p>
      <w:pPr>
        <w:pStyle w:val="0"/>
        <w:spacing w:before="240"/>
        <w:ind w:firstLine="540"/>
        <w:jc w:val="both"/>
      </w:pPr>
      <w:r>
        <w:rPr>
          <w:sz w:val="24"/>
        </w:rPr>
        <w:t xml:space="preserve">6.1. </w:t>
      </w:r>
      <w:hyperlink r:id="rId46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"Муниципальная программа города Перми "Общественное согласие"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p>
      <w:pPr>
        <w:sectPr>
          <w:headerReference w:type="default" r:id="rId10"/>
          <w:headerReference w:type="first" r:id="rId11"/>
          <w:footerReference w:type="default" r:id="rId20"/>
          <w:footerReference w:type="first" r:id="rId21"/>
          <w:pgSz w:w="11906" w:h="16838"/>
          <w:pgMar w:top="1440" w:right="566" w:bottom="1440" w:left="1133" w:header="0" w:footer="0" w:gutter="0"/>
          <w:cols w:space="708"/>
          <w:docGrid w:linePitch="360"/>
          <w:titlePg/>
        </w:sectPr>
      </w:pP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Муниципальная программа города Перми "Общественное согласие"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342878,7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354639,8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261531,0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295999,7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263587,1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1518636,3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324099,4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335031,2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251031,0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285499,7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253087,1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1448748,4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61188,4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6.2. </w:t>
      </w:r>
      <w:hyperlink r:id="rId47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"Муниципальный проект 1 "Строительство зданий для размещения общественных центров"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1 "Строительство зданий для размещения общественных центров"</w:t>
            </w:r>
          </w:p>
        </w:tc>
        <w:tc>
          <w:tcPr>
            <w:tcW w:w="235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84754,6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75837,4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31475,9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192067,9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6.3. строки "</w:t>
      </w:r>
      <w:hyperlink r:id="rId48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1.3 "Строительство нежилого здания под размещение общественного центра по адресу: г. Пермь, Ленинский район, ул. Борцов Революции, 153а", "</w:t>
      </w:r>
      <w:hyperlink r:id="rId49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1.4 "Строительство нежилого здания под размещение общественного центра по адресу: г. Пермь, Свердловский район, ул. Промысловая (пос. Голый Мыс)", "</w:t>
      </w:r>
      <w:hyperlink r:id="rId50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1.5 "Строительство нежилого здания под размещение общественного центра по адресу: г. Пермь, Орджоникидзевский район, ул. Кубанская (микрорайон Январский)", "</w:t>
      </w:r>
      <w:hyperlink r:id="rId51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Муниципальный</w:t>
        </w:r>
      </w:hyperlink>
      <w:r>
        <w:rPr>
          <w:sz w:val="24"/>
        </w:rPr>
        <w:t xml:space="preserve"> проект 2 "Поддержка СО НКО в реализации социальных проектов и проектов инициативного бюджетирования", "</w:t>
      </w:r>
      <w:hyperlink r:id="rId52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2.1 "Проведение мероприятий в рамках реализации проектов инициативного бюджетирования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1.3 "Строительство нежилого здания под размещение общественного центра по адресу: г. Пермь, Ленинский район, ул. Борцов Революции, 153а"</w:t>
            </w:r>
          </w:p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41695,4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7557,9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49253,3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1.4 "Строительство нежилого здания под размещение общественного центра по адресу: г. Пермь, Свердловский район, ул. Промысловая (пос. Голый Мыс)"</w:t>
            </w:r>
          </w:p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31210,5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21618,9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52829,4</w:t>
            </w:r>
          </w:p>
        </w:tc>
      </w:tr>
      <w:tr>
        <w:tc>
          <w:tcPr>
            <w:tcW w:w="2539" w:type="dxa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1.5 "Строительство нежилого здания под размещение общественного центра по адресу: г. Пермь, Орджоникидзевский район, ул. Кубанская (микрорайон Январский)"</w:t>
            </w:r>
          </w:p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УКС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31475,9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32708,6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Муниципальный проект 2 "Поддержка СО НКО в реализации социальных проектов и проектов инициативного бюджетирования"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90200,9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109338,5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105833,4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512039,6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71421,6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89729,9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442151,7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16079,6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13608,8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10500,0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61188,4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2.1 "Проведение мероприятий в рамках реализации проектов инициативного бюджетирования в городе Перми"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3078,6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6666,9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10745,7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154,1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1487,7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8699,5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дорог и благоустройства администрации города Перми (далее - ДДиБ), муниципальные учреждения, подведомственные ДДиБ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5000,2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2999,8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4499,8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250,3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культуры и молодежной политики администрации города Перми (далее - ДКМП), муниципальные учреждения, подведомственные ДКМП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1411,9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1411,9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1199,7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141,5</w:t>
            </w:r>
          </w:p>
        </w:tc>
      </w:tr>
      <w:tr>
        <w:tc>
          <w:tcPr>
            <w:tcW w:w="2539" w:type="dxa"/>
            <w:vMerge w:val="restart"/>
            <w:vAlign w:val="center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администрация Кировского района города Перми (далее - АКР)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3333,4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3333,4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Пермского края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3000,0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166,7</w:t>
            </w:r>
          </w:p>
        </w:tc>
      </w:tr>
    </w:tbl>
    <w:p>
      <w:pPr>
        <w:sectPr>
          <w:headerReference w:type="default" r:id="rId12"/>
          <w:headerReference w:type="first" r:id="rId13"/>
          <w:footerReference w:type="default" r:id="rId22"/>
          <w:footerReference w:type="first" r:id="rId23"/>
          <w:pgSz w:w="16838" w:h="11906" w:orient="landscape"/>
          <w:pgMar w:top="1133" w:right="1440" w:bottom="566" w:left="1440" w:header="0" w:footer="0" w:gutter="0"/>
          <w:cols w:space="708"/>
          <w:docGrid w:linePitch="360"/>
          <w:titlePg/>
        </w:sectPr>
      </w:pPr>
    </w:p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6.4. строки "</w:t>
      </w:r>
      <w:hyperlink r:id="rId53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2.3 "Проведение мероприятий в рамках реализации инициативных проектов на территории города Перми", "</w:t>
      </w:r>
      <w:hyperlink r:id="rId54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2.4 "Реализация инициативных проектов на территории города Перми в сфере благоустройства", "</w:t>
      </w:r>
      <w:hyperlink r:id="rId55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2.5 "Реализация инициативных проектов на территории города Перми в сфере дорожного хозяйства", "</w:t>
      </w:r>
      <w:hyperlink r:id="rId56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2.6 "Реализация инициативных проектов на территории города Перми в сфере общественных отношений", "</w:t>
      </w:r>
      <w:hyperlink r:id="rId57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2.7 "Реализация инициативных проектов на территории города Перми в сфере лесного хозяйства"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2.3 "Проведение мероприятий в рамках реализации инициативных проектов на территории города Перми"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57171,6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232171,6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54396,5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54396,5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2775,1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175019,7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10300,1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7545,0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2755,1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8706,6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11407,4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11387,4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11387,4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8937,8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2714,3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10335,1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10335,1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3945,2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805,4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2.4 "Реализация инициативных проектов на территории города Перми в сфере благоустройства"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26966,5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26966,5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21757,2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5209,3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5209,3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6654,4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6533,5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120,9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14417,7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14417,7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10192,1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10192,1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4225,6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4225,6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3741,4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3741,4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2901,3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840,1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1223,0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930,0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907,3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22,7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2.5 "Реализация инициативных проектов на территории города Перми в сфере дорожного хозяйства"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ДДиБ, муниципальные учреждения, подведомственные ДДиБ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2987,3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2837,9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149,4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2.6 "Реализация инициативных проектов на территории города Перми в сфере общественных отношений"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11057,6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11021,0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7786,6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7781,6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1514,8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1756,2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1724,6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31,6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2.7 "Реализация инициативных проектов на территории города Перми в сфере лесного хозяйства"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управление по экологии и природопользованию администрации города Перми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в том числе: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1003,8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953,6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внебюджетные источники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50,2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6.5. </w:t>
      </w:r>
      <w:hyperlink r:id="rId58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"Комплекс процессных мероприятий "Формирование благоприятных условий для поддержки социально ориентированных некоммерческих организаций, укрепление межнационального и межконфессионального согласия в г.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Комплекс процессных мероприятий "Формирование благоприятных условий для поддержки социально ориентированных некоммерческих организаций, укрепление межнационального и межконфессионального согласия в г. Перми"</w:t>
            </w:r>
          </w:p>
        </w:tc>
        <w:tc>
          <w:tcPr>
            <w:tcW w:w="2359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  <w:tcBorders>
              <w:top w:val="single" w:sz="4"/>
              <w:bottom w:val="single" w:sz="4"/>
            </w:tcBorders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167923,2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169463,9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160697,6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158690,4</w:t>
            </w:r>
          </w:p>
        </w:tc>
        <w:tc>
          <w:tcPr>
            <w:tcW w:w="102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157753,7</w:t>
            </w:r>
          </w:p>
        </w:tc>
        <w:tc>
          <w:tcPr>
            <w:tcW w:w="1144" w:type="dxa"/>
            <w:tcBorders>
              <w:top w:val="single" w:sz="4"/>
              <w:bottom w:val="single" w:sz="4"/>
            </w:tcBorders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814528,8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6.6. </w:t>
      </w:r>
      <w:hyperlink r:id="rId59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строку</w:t>
        </w:r>
      </w:hyperlink>
      <w:r>
        <w:rPr>
          <w:sz w:val="24"/>
        </w:rPr>
        <w:t xml:space="preserve"> "Направление расходов 1.10 "Субсидии на осуществление деятельности территориальных общественных самоуправлений"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1.10 "Субсидии на осуществление деятельности территориальных общественных самоуправлений"</w:t>
            </w:r>
          </w:p>
        </w:tc>
        <w:tc>
          <w:tcPr>
            <w:tcW w:w="235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245894,1</w:t>
            </w:r>
          </w:p>
        </w:tc>
      </w:tr>
      <w:tr>
        <w:tc>
          <w:tcPr>
            <w:vMerge w:val="continue"/>
          </w:tcPr>
          <w:p/>
        </w:tc>
        <w:tc>
          <w:tcPr>
            <w:vMerge w:val="continue"/>
          </w:tcPr>
          <w:p/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46627,7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49816,6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245894,1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6216,4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7573,8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36550,2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6254,8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6556,6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6198,5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31406,9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5539,1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6009,9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29671,8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3117,2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2888,4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3506,6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16525,4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8669,5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9141,8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8845,3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44347,2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6436,3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6251,7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6740,4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32909,2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9531,3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10272,5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10046,9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49944,5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863,1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990,2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895,2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4538,9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ind w:firstLine="540"/>
        <w:jc w:val="both"/>
      </w:pPr>
      <w:r>
        <w:rPr>
          <w:sz w:val="24"/>
        </w:rPr>
        <w:t xml:space="preserve">6.7. строки "</w:t>
      </w:r>
      <w:hyperlink r:id="rId60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1.12 "Содержание имущества и обеспечение деятельности общественных центров", "</w:t>
      </w:r>
      <w:hyperlink r:id="rId61" w:tooltip="Постановление Администрации г. Перми от 17.10.2024 N 956 (ред. от 19.02.2026) &quot;Об утверждении муниципальной программы &quot;Общественное согласие&quot; ------------ Недействующая редакция {КонсультантПлюс}" w:history="0">
        <w:r>
          <w:rPr>
            <w:color w:val="0000ff"/>
            <w:sz w:val="24"/>
          </w:rPr>
          <w:t xml:space="preserve">Направление</w:t>
        </w:r>
      </w:hyperlink>
      <w:r>
        <w:rPr>
          <w:sz w:val="24"/>
        </w:rPr>
        <w:t xml:space="preserve"> расходов 1.13 "Мероприятия в сфере укрепления межнационального и межконфессионального согласия в городе Перми" изложить в следующей редакции:</w:t>
      </w:r>
    </w:p>
    <w:p>
      <w:pPr>
        <w:pStyle w:val="0"/>
        <w:jc w:val="both"/>
      </w:pPr>
      <w:r>
        <w:rPr>
          <w:sz w:val="24"/>
        </w:rPr>
      </w:r>
    </w:p>
    <w:tbl>
      <w:tblPr>
        <w:tblInd w:w="0" w:type="dxa"/>
        <w:tblBorders>
          <w:top w:val="single" w:sz="4"/>
          <w:left w:val="single" w:sz="4"/>
          <w:bottom w:val="single" w:sz="4"/>
          <w:right w:val="single" w:sz="4"/>
          <w:insideH w:val="single" w:sz="4"/>
          <w:insideV w:val="single" w:sz="4"/>
        </w:tblBorders>
        <w:tblLayout w:type="fixed"/>
        <w:tblCellMar>
          <w:left w:w="62" w:type="dxa"/>
          <w:top w:w="102" w:type="dxa"/>
          <w:right w:w="62" w:type="dxa"/>
          <w:bottom w:w="102" w:type="dxa"/>
        </w:tblCellMar>
      </w:tblPr>
      <w:tblGrid>
        <w:gridCol w:w="2539"/>
        <w:gridCol w:w="2359"/>
        <w:gridCol w:w="1684"/>
        <w:gridCol w:w="1024"/>
        <w:gridCol w:w="1024"/>
        <w:gridCol w:w="1024"/>
        <w:gridCol w:w="1024"/>
        <w:gridCol w:w="1024"/>
        <w:gridCol w:w="1144"/>
      </w:tblGrid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1.12 "Содержание имущества и обеспечение деятельности общественных центров"</w:t>
            </w:r>
          </w:p>
        </w:tc>
        <w:tc>
          <w:tcPr>
            <w:tcW w:w="23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70742,0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76659,7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70010,5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63906,6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67066,6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348385,4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АДР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5581,0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6595,5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5864,3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6514,3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30695,4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АИР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8242,1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7610,3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7603,0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38661,4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АКР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8446,3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4662,4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4832,1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3895,4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26668,3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АЛР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4163,5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4412,8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4408,5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4408,5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21801,8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13909,7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16827,6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16901,3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17267,8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14643,6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79550,0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АОР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16401,2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18426,3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18053,6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12314,4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18385,3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83580,8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АСР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10402,2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16937,2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9971,5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9971,5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57253,9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АНЛ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3596,0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1642,8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1645,0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10173,8</w:t>
            </w:r>
          </w:p>
        </w:tc>
      </w:tr>
      <w:tr>
        <w:tc>
          <w:tcPr>
            <w:tcW w:w="2539" w:type="dxa"/>
            <w:vMerge w:val="restart"/>
          </w:tcPr>
          <w:p>
            <w:pPr>
              <w:pStyle w:val="0"/>
            </w:pPr>
            <w:r>
              <w:rPr>
                <w:sz w:val="24"/>
              </w:rPr>
              <w:t xml:space="preserve">Направление расходов 1.13 "Мероприятия в сфере укрепления межнационального и межконфессионального согласия в городе Перми"</w:t>
            </w:r>
          </w:p>
        </w:tc>
        <w:tc>
          <w:tcPr>
            <w:tcW w:w="2359" w:type="dxa"/>
          </w:tcPr>
          <w:p>
            <w:pPr>
              <w:pStyle w:val="0"/>
            </w:pPr>
            <w:r>
              <w:rPr>
                <w:sz w:val="24"/>
              </w:rPr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всего, 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17272,9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19299,2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16917,6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21014,3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16917,6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91421,6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УВОСиМО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8975,3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12391,3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8294,6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46250,4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ДКМП, муниципальные учреждения, подведомственные ДКМП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7483,0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10064,0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7682,4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7682,4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40594,2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департамент образования администрации города Перми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200,0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1000,0</w:t>
            </w:r>
          </w:p>
        </w:tc>
      </w:tr>
      <w:tr>
        <w:tc>
          <w:tcPr>
            <w:vMerge w:val="continue"/>
          </w:tcPr>
          <w:p/>
        </w:tc>
        <w:tc>
          <w:tcPr>
            <w:tcW w:w="2359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АМР</w:t>
            </w:r>
          </w:p>
        </w:tc>
        <w:tc>
          <w:tcPr>
            <w:tcW w:w="1684" w:type="dxa"/>
          </w:tcPr>
          <w:p>
            <w:pPr>
              <w:pStyle w:val="0"/>
            </w:pPr>
            <w:r>
              <w:rPr>
                <w:sz w:val="24"/>
              </w:rPr>
              <w:t xml:space="preserve">бюджет города Перми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614,6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02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740,6</w:t>
            </w:r>
          </w:p>
        </w:tc>
        <w:tc>
          <w:tcPr>
            <w:tcW w:w="1144" w:type="dxa"/>
          </w:tcPr>
          <w:p>
            <w:pPr>
              <w:pStyle w:val="0"/>
              <w:jc w:val="center"/>
            </w:pPr>
            <w:r>
              <w:rPr>
                <w:sz w:val="24"/>
              </w:rPr>
              <w:t xml:space="preserve">3577,0</w:t>
            </w:r>
          </w:p>
        </w:tc>
      </w:tr>
    </w:tbl>
    <w:p>
      <w:pPr>
        <w:pStyle w:val="0"/>
        <w:jc w:val="both"/>
      </w:pPr>
      <w:r>
        <w:rPr>
          <w:sz w:val="24"/>
        </w:rPr>
      </w:r>
    </w:p>
    <w:p>
      <w:pPr>
        <w:pStyle w:val="0"/>
        <w:jc w:val="both"/>
      </w:pPr>
      <w:r>
        <w:rPr>
          <w:sz w:val="24"/>
        </w:rPr>
      </w:r>
    </w:p>
    <w:p>
      <w:pPr>
        <w:pStyle w:val="0"/>
        <w:pBdr>
          <w:bottom w:val="single" w:color="auto" w:sz="6" w:space="0"/>
        </w:pBdr>
        <w:spacing w:before="100" w:after="100"/>
        <w:jc w:val="both"/>
        <w:rPr>
          <w:sz w:val="2"/>
          <w:szCs w:val="2"/>
        </w:rPr>
      </w:pPr>
    </w:p>
    <w:sectPr>
      <w:headerReference w:type="default" r:id="rId14"/>
      <w:headerReference w:type="first" r:id="rId15"/>
      <w:footerReference w:type="default" r:id="rId24"/>
      <w:footerReference w:type="first" r:id="rId25"/>
      <w:pgSz w:w="16838" w:h="11906" w:orient="landscape"/>
      <w:pgMar w:top="1133" w:right="1440" w:bottom="566" w:left="1440" w:header="0" w:footer="0" w:gutter="0"/>
      <w:cols w:space="708"/>
      <w:docGrid w:linePitch="360"/>
      <w:titlePg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ahoma">
    <w:panose1 w:val="020B0604030504040204"/>
  </w:font>
  <w:font w:name="Arial">
    <w:panose1 w:val="020B0604020202020204"/>
  </w:font>
  <w:font w:name="Courier New">
    <w:panose1 w:val="02070309020205020404"/>
  </w:font>
  <w:font w:name="Times New Roman">
    <w:panose1 w:val="02020603050405020304"/>
  </w:font>
  <w:font w:name="Calibri">
    <w:panose1 w:val="020F0502020204030204"/>
  </w:font>
  <w:font w:name="Cambria">
    <w:panose1 w:val="020408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663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>
        <w:bottom w:val="single" w:color="auto" w:sz="12" w:space="0"/>
      </w:pBdr>
      <w:rPr>
        <w:sz w:val="2"/>
        <w:szCs w:val="2"/>
      </w:rPr>
    </w:pPr>
  </w:p>
  <w:tbl>
    <w:tblPr>
      <w:tblW w:w="5000" w:type="pct"/>
      <w:tblInd w:w="0" w:type="dxa"/>
      <w:tblCellMar>
        <w:left w:w="40" w:type="dxa"/>
        <w:right w:w="40" w:type="dxa"/>
      </w:tblCellMar>
      <w:tblLook w:val="0000" w:firstRow="0" w:lastRow="0" w:firstColumn="0" w:lastColumn="0" w:noHBand="0" w:noVBand="0"/>
    </w:tblPr>
    <w:tblGrid>
      <w:gridCol w:w="1"/>
      <w:gridCol w:w="1"/>
      <w:gridCol w:w="1"/>
    </w:tblGrid>
    <w:tr>
      <w:trPr>
        <w:trHeight w:val="1170" w:hRule="exact"/>
      </w:trPr>
      <w:tc>
        <w:tcPr>
          <w:tcW w:w="1650" w:type="pct"/>
          <w:vAlign w:val="center"/>
        </w:tcPr>
        <w:p>
          <w:r>
            <w:rPr>
              <w:rFonts w:ascii="Tahoma" w:hAnsi="Tahoma" w:cs="Tahoma"/>
              <w:b/>
              <w:color w:val="f58220"/>
              <w:sz w:val="28"/>
              <w:szCs w:val="28"/>
            </w:rPr>
            <w:t xml:space="preserve">КонсультантПлюс</w:t>
          </w:r>
          <w:r>
            <w:rPr>
              <w:rFonts w:ascii="Tahoma" w:hAnsi="Tahoma" w:cs="Tahoma"/>
              <w:b/>
              <w:sz w:val="16"/>
              <w:szCs w:val="16"/>
            </w:rPr>
            <w:br/>
            <w:t xml:space="preserve">надежная правовая поддержка</w:t>
          </w:r>
        </w:p>
      </w:tc>
      <w:tc>
        <w:tcPr>
          <w:tcW w:w="1700" w:type="pct"/>
          <w:vAlign w:val="center"/>
        </w:tcPr>
        <w:p>
          <w:pPr>
            <w:jc w:val="center"/>
          </w:pPr>
          <w:hyperlink r:id="rId1" w:history="0">
            <w:r>
              <w:rPr>
                <w:rFonts w:ascii="Tahoma" w:hAnsi="Tahoma" w:cs="Tahoma"/>
                <w:b/>
                <w:color w:val="0000ff"/>
              </w:rPr>
              <w:t xml:space="preserve">www.consultant.ru</w:t>
            </w:r>
          </w:hyperlink>
        </w:p>
      </w:tc>
      <w:tc>
        <w:tcPr>
          <w:tcW w:w="1650" w:type="pct"/>
          <w:vAlign w:val="center"/>
        </w:tcPr>
        <w:p>
          <w:pPr>
            <w:jc w:val="right"/>
          </w:pPr>
          <w:r>
            <w:rPr>
              <w:rFonts w:ascii="Tahoma" w:hAnsi="Tahoma" w:cs="Tahoma"/>
            </w:rPr>
            <w:t xml:space="preserve">Страница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PAGE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  <w:r>
            <w:rPr>
              <w:rFonts w:ascii="Tahoma" w:hAnsi="Tahoma" w:cs="Tahoma"/>
            </w:rPr>
            <w:t xml:space="preserve"> из </w:t>
          </w:r>
          <w:r>
            <w:fldChar w:fldCharType="begin"/>
          </w:r>
          <w:r>
            <w:rPr>
              <w:rFonts w:ascii="Tahoma" w:hAnsi="Tahoma" w:cs="Tahoma"/>
            </w:rPr>
            <w:instrText xml:space="preserve">NUMPAGES</w:instrText>
          </w:r>
          <w:r>
            <w:fldChar w:fldCharType="separate"/>
          </w:r>
          <w:r>
            <w:rPr>
              <w:rFonts w:ascii="Tahoma" w:hAnsi="Tahoma" w:cs="Tahoma"/>
            </w:rPr>
            <w:t xml:space="preserve">5</w:t>
          </w:r>
          <w:r>
            <w:fldChar w:fldCharType="end"/>
          </w:r>
        </w:p>
      </w:tc>
    </w:tr>
  </w:tbl>
  <w:p>
    <w:r>
      <w:rPr>
        <w:sz w:val="2"/>
        <w:szCs w:val="2"/>
      </w:rPr>
      <w:t xml:space="preserve">1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683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tbl>
    <w:tblPr>
      <w:tblW w:w="5000" w:type="pct"/>
      <w:tblInd w:w="0" w:type="dxa"/>
      <w:tblLayout w:type="fixed"/>
      <w:tblCellMar>
        <w:left w:w="40" w:type="dxa"/>
        <w:right w:w="40" w:type="dxa"/>
      </w:tblCellMar>
    </w:tblPr>
    <w:tblGrid>
      <w:gridCol w:w="1"/>
      <w:gridCol w:w="1"/>
    </w:tblGrid>
    <w:tr>
      <w:trPr>
        <w:trHeight w:val="1190" w:hRule="exact"/>
      </w:trPr>
      <w:tc>
        <w:tcPr>
          <w:tcW w:w="2700" w:type="pct"/>
          <w:vAlign w:val="center"/>
        </w:tcPr>
        <w:p>
          <w:pPr>
            <w:rPr>
              <w:rFonts w:ascii="Tahoma" w:hAnsi="Tahoma" w:cs="Tahoma"/>
            </w:rPr>
          </w:pPr>
          <w:r>
            <w:rPr>
              <w:rFonts w:ascii="Tahoma" w:hAnsi="Tahoma" w:cs="Tahoma"/>
              <w:sz w:val="16"/>
              <w:szCs w:val="16"/>
            </w:rPr>
            <w:t xml:space="preserve">Постановление Администрации г. Перми от 18.03.2026 N 150</w:t>
            <w:br/>
            <w:t xml:space="preserve">"О внесении изменений в муниципальную программу "Общественное с...</w:t>
          </w:r>
        </w:p>
      </w:tc>
      <w:tc>
        <w:tcPr>
          <w:tcW w:w="2300" w:type="pct"/>
          <w:vAlign w:val="center"/>
        </w:tcPr>
        <w:p>
          <w:pPr>
            <w:jc w:val="right"/>
            <w:rPr>
              <w:rFonts w:ascii="Tahoma" w:hAnsi="Tahoma" w:cs="Tahoma"/>
            </w:rPr>
          </w:pPr>
          <w:r>
            <w:rPr>
              <w:rFonts w:ascii="Tahoma" w:hAnsi="Tahoma" w:cs="Tahoma"/>
              <w:sz w:val="18"/>
              <w:szCs w:val="18"/>
            </w:rPr>
            <w:t xml:space="preserve">Документ предоставлен </w:t>
          </w:r>
          <w:hyperlink r:id="rId1" w:tooltip="КонсультантПлюс - надежная правовая система" w:history="0">
            <w:r>
              <w:rPr>
                <w:rFonts w:ascii="Tahoma" w:hAnsi="Tahoma" w:cs="Tahoma"/>
                <w:color w:val="0000ff"/>
                <w:sz w:val="18"/>
                <w:szCs w:val="18"/>
              </w:rPr>
              <w:t xml:space="preserve">КонсультантПлюс</w:t>
            </w:r>
          </w:hyperlink>
          <w:r>
            <w:rPr>
              <w:rFonts w:ascii="Tahoma" w:hAnsi="Tahoma" w:cs="Tahoma"/>
              <w:sz w:val="18"/>
              <w:szCs w:val="18"/>
            </w:rPr>
            <w:br/>
          </w:r>
          <w:r>
            <w:rPr>
              <w:rFonts w:ascii="Tahoma" w:hAnsi="Tahoma" w:cs="Tahoma"/>
              <w:sz w:val="16"/>
              <w:szCs w:val="16"/>
            </w:rPr>
            <w:t xml:space="preserve">Дата сохранения: 01.04.2026</w:t>
          </w:r>
        </w:p>
      </w:tc>
    </w:tr>
  </w:tbl>
  <w:p>
    <w:pPr>
      <w:pBdr>
        <w:bottom w:val="single" w:color="auto" w:sz="12" w:space="0"/>
      </w:pBdr>
      <w:rPr>
        <w:sz w:val="2"/>
        <w:szCs w:val="2"/>
      </w:rPr>
    </w:pPr>
  </w:p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themeFontLang w:val="en-US" w:eastAsia="zh-CN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spacing w:before="0" w:after="0" w:line="240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0" w:default="1" w:customStyle="1">
    <w:name w:val="ConsPlusNormal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1" w:customStyle="1">
    <w:name w:val="ConsPlusNonformat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2" w:customStyle="1">
    <w:name w:val="ConsPlusTitle"/>
    <w:pPr>
      <w:widowControl w:val="off"/>
    </w:pPr>
    <w:rPr>
      <w:rFonts w:ascii="Arial" w:hAnsi="Arial" w:cs="Arial"/>
      <w:b/>
      <w:sz w:val="24"/>
      <w:lang w:val="ru-RU" w:eastAsia="ru-RU" w:bidi="ar-SA"/>
    </w:rPr>
  </w:style>
  <w:style w:type="paragraph" w:styleId="3" w:customStyle="1">
    <w:name w:val="ConsPlusCell"/>
    <w:pPr>
      <w:widowControl w:val="off"/>
    </w:pPr>
    <w:rPr>
      <w:rFonts w:ascii="Courier New" w:hAnsi="Courier New" w:cs="Courier New"/>
      <w:sz w:val="20"/>
      <w:lang w:val="ru-RU" w:eastAsia="ru-RU" w:bidi="ar-SA"/>
    </w:rPr>
  </w:style>
  <w:style w:type="paragraph" w:styleId="4" w:customStyle="1">
    <w:name w:val="ConsPlusDocList"/>
    <w:pPr>
      <w:widowControl w:val="off"/>
    </w:pPr>
    <w:rPr>
      <w:rFonts w:ascii="Tahoma" w:hAnsi="Tahoma" w:cs="Tahoma"/>
      <w:sz w:val="18"/>
      <w:lang w:val="ru-RU" w:eastAsia="ru-RU" w:bidi="ar-SA"/>
    </w:rPr>
  </w:style>
  <w:style w:type="paragraph" w:styleId="5" w:customStyle="1">
    <w:name w:val="ConsPlusTitlePage"/>
    <w:pPr>
      <w:widowControl w:val="off"/>
    </w:pPr>
    <w:rPr>
      <w:rFonts w:ascii="Tahoma" w:hAnsi="Tahoma" w:cs="Tahoma"/>
      <w:sz w:val="20"/>
      <w:lang w:val="ru-RU" w:eastAsia="ru-RU" w:bidi="ar-SA"/>
    </w:rPr>
  </w:style>
  <w:style w:type="paragraph" w:styleId="6" w:customStyle="1">
    <w:name w:val="ConsPlusJurTerm"/>
    <w:pPr>
      <w:widowControl w:val="off"/>
    </w:pPr>
    <w:rPr>
      <w:rFonts w:ascii="Tahoma" w:hAnsi="Tahoma" w:cs="Tahoma"/>
      <w:sz w:val="26"/>
      <w:lang w:val="ru-RU" w:eastAsia="ru-RU" w:bidi="ar-SA"/>
    </w:rPr>
  </w:style>
  <w:style w:type="paragraph" w:styleId="7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  <w:style w:type="paragraph" w:styleId="8" w:customStyle="1">
    <w:name w:val="ConsPlusTextList"/>
    <w:pPr>
      <w:widowControl w:val="off"/>
    </w:pPr>
    <w:rPr>
      <w:rFonts w:ascii="Times New Roman" w:hAnsi="Times New Roman" w:cs="Times New Roman"/>
      <w:sz w:val="24"/>
      <w:lang w:val="ru-RU" w:eastAsia="ru-RU" w:bidi="ar-SA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header" Target="header1.xml" /><Relationship Id="rId7" Type="http://schemas.openxmlformats.org/officeDocument/2006/relationships/header" Target="header2.xml" /><Relationship Id="rId8" Type="http://schemas.openxmlformats.org/officeDocument/2006/relationships/header" Target="header3.xml" /><Relationship Id="rId9" Type="http://schemas.openxmlformats.org/officeDocument/2006/relationships/header" Target="header4.xml" /><Relationship Id="rId10" Type="http://schemas.openxmlformats.org/officeDocument/2006/relationships/header" Target="header5.xml" /><Relationship Id="rId11" Type="http://schemas.openxmlformats.org/officeDocument/2006/relationships/header" Target="header6.xml" /><Relationship Id="rId12" Type="http://schemas.openxmlformats.org/officeDocument/2006/relationships/header" Target="header7.xml" /><Relationship Id="rId13" Type="http://schemas.openxmlformats.org/officeDocument/2006/relationships/header" Target="header8.xml" /><Relationship Id="rId14" Type="http://schemas.openxmlformats.org/officeDocument/2006/relationships/header" Target="header9.xml" /><Relationship Id="rId15" Type="http://schemas.openxmlformats.org/officeDocument/2006/relationships/header" Target="header10.xml" /><Relationship Id="rId16" Type="http://schemas.openxmlformats.org/officeDocument/2006/relationships/footer" Target="footer1.xml" /><Relationship Id="rId17" Type="http://schemas.openxmlformats.org/officeDocument/2006/relationships/footer" Target="footer2.xml" /><Relationship Id="rId18" Type="http://schemas.openxmlformats.org/officeDocument/2006/relationships/footer" Target="footer3.xml" /><Relationship Id="rId19" Type="http://schemas.openxmlformats.org/officeDocument/2006/relationships/footer" Target="footer4.xml" /><Relationship Id="rId20" Type="http://schemas.openxmlformats.org/officeDocument/2006/relationships/footer" Target="footer5.xml" /><Relationship Id="rId21" Type="http://schemas.openxmlformats.org/officeDocument/2006/relationships/footer" Target="footer6.xml" /><Relationship Id="rId22" Type="http://schemas.openxmlformats.org/officeDocument/2006/relationships/footer" Target="footer7.xml" /><Relationship Id="rId23" Type="http://schemas.openxmlformats.org/officeDocument/2006/relationships/footer" Target="footer8.xml" /><Relationship Id="rId24" Type="http://schemas.openxmlformats.org/officeDocument/2006/relationships/footer" Target="footer9.xml" /><Relationship Id="rId25" Type="http://schemas.openxmlformats.org/officeDocument/2006/relationships/footer" Target="footer10.xml" /><Relationship Id="rId26" Type="http://schemas.openxmlformats.org/officeDocument/2006/relationships/image" Target="media/image1.png"/><Relationship Id="rId27" Type="http://schemas.openxmlformats.org/officeDocument/2006/relationships/hyperlink" Target="https://www.consultant.ru" TargetMode="External"/><Relationship Id="rId28" Type="http://schemas.openxmlformats.org/officeDocument/2006/relationships/hyperlink" Target="https://www.consultant.ru" TargetMode="External"/><Relationship Id="rId29" Type="http://schemas.openxmlformats.org/officeDocument/2006/relationships/hyperlink" Target="http://df-consperm.gorodperm.ru/cons/cgi/online.cgi?req=doc&amp;base=LAW&amp;n=501480&amp;date=01.04.2026" TargetMode="External"/><Relationship Id="rId30" Type="http://schemas.openxmlformats.org/officeDocument/2006/relationships/hyperlink" Target="http://df-consperm.gorodperm.ru/cons/cgi/online.cgi?req=doc&amp;base=LAW&amp;n=501319&amp;date=01.04.2026" TargetMode="External"/><Relationship Id="rId31" Type="http://schemas.openxmlformats.org/officeDocument/2006/relationships/hyperlink" Target="http://df-consperm.gorodperm.ru/cons/cgi/online.cgi?req=doc&amp;base=RLAW368&amp;n=217986&amp;date=01.04.2026" TargetMode="External"/><Relationship Id="rId32" Type="http://schemas.openxmlformats.org/officeDocument/2006/relationships/hyperlink" Target="http://df-consperm.gorodperm.ru/cons/cgi/online.cgi?req=doc&amp;base=RLAW368&amp;n=218480&amp;date=01.04.2026&amp;dst=100042&amp;field=134" TargetMode="External"/><Relationship Id="rId33" Type="http://schemas.openxmlformats.org/officeDocument/2006/relationships/hyperlink" Target="www.gorodperm.ru" TargetMode="External"/><Relationship Id="rId34" Type="http://schemas.openxmlformats.org/officeDocument/2006/relationships/hyperlink" Target="http://df-consperm.gorodperm.ru/cons/cgi/online.cgi?req=doc&amp;base=RLAW368&amp;n=218480&amp;date=01.04.2026&amp;dst=107715&amp;field=134" TargetMode="External"/><Relationship Id="rId35" Type="http://schemas.openxmlformats.org/officeDocument/2006/relationships/hyperlink" Target="http://df-consperm.gorodperm.ru/cons/cgi/online.cgi?req=doc&amp;base=RLAW368&amp;n=218480&amp;date=01.04.2026&amp;dst=106253&amp;field=134" TargetMode="External"/><Relationship Id="rId36" Type="http://schemas.openxmlformats.org/officeDocument/2006/relationships/hyperlink" Target="http://df-consperm.gorodperm.ru/cons/cgi/online.cgi?req=doc&amp;base=RLAW368&amp;n=218480&amp;date=01.04.2026&amp;dst=106271&amp;field=134" TargetMode="External"/><Relationship Id="rId37" Type="http://schemas.openxmlformats.org/officeDocument/2006/relationships/hyperlink" Target="http://df-consperm.gorodperm.ru/cons/cgi/online.cgi?req=doc&amp;base=RLAW368&amp;n=218480&amp;date=01.04.2026&amp;dst=106295&amp;field=134" TargetMode="External"/><Relationship Id="rId38" Type="http://schemas.openxmlformats.org/officeDocument/2006/relationships/hyperlink" Target="http://df-consperm.gorodperm.ru/cons/cgi/online.cgi?req=doc&amp;base=RLAW368&amp;n=218480&amp;date=01.04.2026&amp;dst=107766&amp;field=134" TargetMode="External"/><Relationship Id="rId39" Type="http://schemas.openxmlformats.org/officeDocument/2006/relationships/hyperlink" Target="http://df-consperm.gorodperm.ru/cons/cgi/online.cgi?req=doc&amp;base=RLAW368&amp;n=218480&amp;date=01.04.2026&amp;dst=106361&amp;field=134" TargetMode="External"/><Relationship Id="rId40" Type="http://schemas.openxmlformats.org/officeDocument/2006/relationships/hyperlink" Target="http://df-consperm.gorodperm.ru/cons/cgi/online.cgi?req=doc&amp;base=RLAW368&amp;n=218480&amp;date=01.04.2026&amp;dst=107810&amp;field=134" TargetMode="External"/><Relationship Id="rId41" Type="http://schemas.openxmlformats.org/officeDocument/2006/relationships/hyperlink" Target="http://df-consperm.gorodperm.ru/cons/cgi/online.cgi?req=doc&amp;base=RLAW368&amp;n=218480&amp;date=01.04.2026&amp;dst=106434&amp;field=134" TargetMode="External"/><Relationship Id="rId42" Type="http://schemas.openxmlformats.org/officeDocument/2006/relationships/hyperlink" Target="http://df-consperm.gorodperm.ru/cons/cgi/online.cgi?req=doc&amp;base=RLAW368&amp;n=218480&amp;date=01.04.2026&amp;dst=106486&amp;field=134" TargetMode="External"/><Relationship Id="rId43" Type="http://schemas.openxmlformats.org/officeDocument/2006/relationships/hyperlink" Target="http://df-consperm.gorodperm.ru/cons/cgi/online.cgi?req=doc&amp;base=RLAW368&amp;n=218480&amp;date=01.04.2026&amp;dst=106496&amp;field=134" TargetMode="External"/><Relationship Id="rId44" Type="http://schemas.openxmlformats.org/officeDocument/2006/relationships/hyperlink" Target="http://df-consperm.gorodperm.ru/cons/cgi/online.cgi?req=doc&amp;base=RLAW368&amp;n=218480&amp;date=01.04.2026&amp;dst=106515&amp;field=134" TargetMode="External"/><Relationship Id="rId45" Type="http://schemas.openxmlformats.org/officeDocument/2006/relationships/hyperlink" Target="http://df-consperm.gorodperm.ru/cons/cgi/online.cgi?req=doc&amp;base=RLAW368&amp;n=218480&amp;date=01.04.2026&amp;dst=106543&amp;field=134" TargetMode="External"/><Relationship Id="rId46" Type="http://schemas.openxmlformats.org/officeDocument/2006/relationships/hyperlink" Target="http://df-consperm.gorodperm.ru/cons/cgi/online.cgi?req=doc&amp;base=RLAW368&amp;n=218480&amp;date=01.04.2026&amp;dst=107840&amp;field=134" TargetMode="External"/><Relationship Id="rId47" Type="http://schemas.openxmlformats.org/officeDocument/2006/relationships/hyperlink" Target="http://df-consperm.gorodperm.ru/cons/cgi/online.cgi?req=doc&amp;base=RLAW368&amp;n=218480&amp;date=01.04.2026&amp;dst=106608&amp;field=134" TargetMode="External"/><Relationship Id="rId48" Type="http://schemas.openxmlformats.org/officeDocument/2006/relationships/hyperlink" Target="http://df-consperm.gorodperm.ru/cons/cgi/online.cgi?req=doc&amp;base=RLAW368&amp;n=218480&amp;date=01.04.2026&amp;dst=106635&amp;field=134" TargetMode="External"/><Relationship Id="rId49" Type="http://schemas.openxmlformats.org/officeDocument/2006/relationships/hyperlink" Target="http://df-consperm.gorodperm.ru/cons/cgi/online.cgi?req=doc&amp;base=RLAW368&amp;n=218480&amp;date=01.04.2026&amp;dst=106644&amp;field=134" TargetMode="External"/><Relationship Id="rId50" Type="http://schemas.openxmlformats.org/officeDocument/2006/relationships/hyperlink" Target="http://df-consperm.gorodperm.ru/cons/cgi/online.cgi?req=doc&amp;base=RLAW368&amp;n=218480&amp;date=01.04.2026&amp;dst=106653&amp;field=134" TargetMode="External"/><Relationship Id="rId51" Type="http://schemas.openxmlformats.org/officeDocument/2006/relationships/hyperlink" Target="http://df-consperm.gorodperm.ru/cons/cgi/online.cgi?req=doc&amp;base=RLAW368&amp;n=218480&amp;date=01.04.2026&amp;dst=107884&amp;field=134" TargetMode="External"/><Relationship Id="rId52" Type="http://schemas.openxmlformats.org/officeDocument/2006/relationships/hyperlink" Target="http://df-consperm.gorodperm.ru/cons/cgi/online.cgi?req=doc&amp;base=RLAW368&amp;n=218480&amp;date=01.04.2026&amp;dst=107921&amp;field=134" TargetMode="External"/><Relationship Id="rId53" Type="http://schemas.openxmlformats.org/officeDocument/2006/relationships/hyperlink" Target="http://df-consperm.gorodperm.ru/cons/cgi/online.cgi?req=doc&amp;base=RLAW368&amp;n=218480&amp;date=01.04.2026&amp;dst=108080&amp;field=134" TargetMode="External"/><Relationship Id="rId54" Type="http://schemas.openxmlformats.org/officeDocument/2006/relationships/hyperlink" Target="http://df-consperm.gorodperm.ru/cons/cgi/online.cgi?req=doc&amp;base=RLAW368&amp;n=218480&amp;date=01.04.2026&amp;dst=107044&amp;field=134" TargetMode="External"/><Relationship Id="rId55" Type="http://schemas.openxmlformats.org/officeDocument/2006/relationships/hyperlink" Target="http://df-consperm.gorodperm.ru/cons/cgi/online.cgi?req=doc&amp;base=RLAW368&amp;n=218480&amp;date=01.04.2026&amp;dst=107169&amp;field=134" TargetMode="External"/><Relationship Id="rId56" Type="http://schemas.openxmlformats.org/officeDocument/2006/relationships/hyperlink" Target="http://df-consperm.gorodperm.ru/cons/cgi/online.cgi?req=doc&amp;base=RLAW368&amp;n=218480&amp;date=01.04.2026&amp;dst=107192&amp;field=134" TargetMode="External"/><Relationship Id="rId57" Type="http://schemas.openxmlformats.org/officeDocument/2006/relationships/hyperlink" Target="http://df-consperm.gorodperm.ru/cons/cgi/online.cgi?req=doc&amp;base=RLAW368&amp;n=218480&amp;date=01.04.2026&amp;dst=107273&amp;field=134" TargetMode="External"/><Relationship Id="rId58" Type="http://schemas.openxmlformats.org/officeDocument/2006/relationships/hyperlink" Target="http://df-consperm.gorodperm.ru/cons/cgi/online.cgi?req=doc&amp;base=RLAW368&amp;n=218480&amp;date=01.04.2026&amp;dst=108160&amp;field=134" TargetMode="External"/><Relationship Id="rId59" Type="http://schemas.openxmlformats.org/officeDocument/2006/relationships/hyperlink" Target="http://df-consperm.gorodperm.ru/cons/cgi/online.cgi?req=doc&amp;base=RLAW368&amp;n=218480&amp;date=01.04.2026&amp;dst=108183&amp;field=134" TargetMode="External"/><Relationship Id="rId60" Type="http://schemas.openxmlformats.org/officeDocument/2006/relationships/hyperlink" Target="http://df-consperm.gorodperm.ru/cons/cgi/online.cgi?req=doc&amp;base=RLAW368&amp;n=218480&amp;date=01.04.2026&amp;dst=107603&amp;field=134" TargetMode="External"/><Relationship Id="rId61" Type="http://schemas.openxmlformats.org/officeDocument/2006/relationships/hyperlink" Target="http://df-consperm.gorodperm.ru/cons/cgi/online.cgi?req=doc&amp;base=RLAW368&amp;n=218480&amp;date=01.04.2026&amp;dst=107675&amp;field=134" TargetMode="External"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foot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10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4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5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6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7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8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_rels/header9.xml.rels><?xml version="1.0" encoding="UTF-8" standalone="yes"?><Relationships xmlns="http://schemas.openxmlformats.org/package/2006/relationships"><Relationship Id="rId1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КонсультантПлюс Версия 4025.00.50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 Администрации г. Перми от 18.03.2026 N 150
"О внесении изменений в муниципальную программу "Общественное согласие", утвержденную постановлением администрации города Перми от 17.10.2024 N 956"</dc:title>
  <cp:lastModifiedBy>paramonova-va</cp:lastModifiedBy>
  <dcterms:created xsi:type="dcterms:W3CDTF">2026-04-01T07:08:02Z</dcterms:created>
</cp:coreProperties>
</file>